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3EC7" w:rsidRDefault="00542CC2" w:rsidP="00542CC2">
      <w:pPr>
        <w:jc w:val="center"/>
      </w:pPr>
      <w:bookmarkStart w:id="0" w:name="_GoBack"/>
      <w:bookmarkEnd w:id="0"/>
      <w:r>
        <w:rPr>
          <w:noProof/>
        </w:rPr>
        <w:drawing>
          <wp:inline distT="0" distB="0" distL="0" distR="0">
            <wp:extent cx="1721922" cy="17219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mish Logo - print up to 15 inches wid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2995" cy="1722995"/>
                    </a:xfrm>
                    <a:prstGeom prst="rect">
                      <a:avLst/>
                    </a:prstGeom>
                  </pic:spPr>
                </pic:pic>
              </a:graphicData>
            </a:graphic>
          </wp:inline>
        </w:drawing>
      </w:r>
    </w:p>
    <w:p w:rsidR="00E41B5D" w:rsidRDefault="00542CC2" w:rsidP="0079631F">
      <w:pPr>
        <w:widowControl w:val="0"/>
        <w:spacing w:after="0"/>
        <w:jc w:val="center"/>
        <w:rPr>
          <w:rFonts w:ascii="Helvetica" w:hAnsi="Helvetica"/>
          <w:sz w:val="44"/>
          <w:szCs w:val="44"/>
        </w:rPr>
      </w:pPr>
      <w:r w:rsidRPr="00E41B5D">
        <w:rPr>
          <w:rFonts w:ascii="Helvetica" w:hAnsi="Helvetica"/>
          <w:sz w:val="44"/>
          <w:szCs w:val="44"/>
        </w:rPr>
        <w:t>Disability Rights in Housing</w:t>
      </w:r>
    </w:p>
    <w:p w:rsidR="0079631F" w:rsidRDefault="0079631F" w:rsidP="0079631F">
      <w:pPr>
        <w:widowControl w:val="0"/>
        <w:spacing w:after="0"/>
        <w:jc w:val="center"/>
        <w:rPr>
          <w:rFonts w:ascii="Helvetica" w:hAnsi="Helvetica"/>
          <w:b/>
          <w:bCs/>
          <w:color w:val="000000"/>
          <w:sz w:val="24"/>
          <w:szCs w:val="24"/>
          <w:shd w:val="clear" w:color="auto" w:fill="FFFFFF"/>
        </w:rPr>
      </w:pPr>
    </w:p>
    <w:p w:rsidR="0069236E" w:rsidRPr="0079631F" w:rsidRDefault="00542CC2" w:rsidP="00536CF7">
      <w:pPr>
        <w:widowControl w:val="0"/>
        <w:spacing w:after="20"/>
        <w:rPr>
          <w:rFonts w:ascii="Helvetica" w:hAnsi="Helvetica"/>
          <w:color w:val="000000"/>
          <w:sz w:val="24"/>
          <w:szCs w:val="24"/>
          <w:shd w:val="clear" w:color="auto" w:fill="FFFFFF"/>
        </w:rPr>
      </w:pPr>
      <w:r w:rsidRPr="0079631F">
        <w:rPr>
          <w:rFonts w:ascii="Helvetica" w:hAnsi="Helvetica"/>
          <w:b/>
          <w:bCs/>
          <w:color w:val="000000"/>
          <w:sz w:val="24"/>
          <w:szCs w:val="24"/>
          <w:shd w:val="clear" w:color="auto" w:fill="FFFFFF"/>
        </w:rPr>
        <w:t>Disability Rights in Private and Public Housing:</w:t>
      </w:r>
      <w:r w:rsidRPr="0079631F">
        <w:rPr>
          <w:rFonts w:ascii="Helvetica" w:hAnsi="Helvetica"/>
          <w:color w:val="000000"/>
          <w:sz w:val="24"/>
          <w:szCs w:val="24"/>
          <w:shd w:val="clear" w:color="auto" w:fill="FFFFFF"/>
        </w:rPr>
        <w:t> </w:t>
      </w:r>
      <w:r w:rsidR="00E41B5D" w:rsidRPr="0079631F">
        <w:rPr>
          <w:rFonts w:ascii="Helvetica" w:hAnsi="Helvetica"/>
          <w:color w:val="000000"/>
          <w:sz w:val="24"/>
          <w:szCs w:val="24"/>
          <w:shd w:val="clear" w:color="auto" w:fill="FFFFFF"/>
        </w:rPr>
        <w:br/>
      </w:r>
      <w:r w:rsidRPr="0079631F">
        <w:rPr>
          <w:rFonts w:ascii="Helvetica" w:hAnsi="Helvetica"/>
          <w:color w:val="000000"/>
          <w:sz w:val="24"/>
          <w:szCs w:val="24"/>
          <w:shd w:val="clear" w:color="auto" w:fill="FFFFFF"/>
        </w:rPr>
        <w:t>Regardless of whether you live in private or public housing, Federal laws provide the following rights to persons with disabilities:</w:t>
      </w:r>
    </w:p>
    <w:p w:rsidR="0069236E" w:rsidRPr="0079631F" w:rsidRDefault="0069236E" w:rsidP="0079631F">
      <w:pPr>
        <w:widowControl w:val="0"/>
        <w:spacing w:after="20"/>
        <w:rPr>
          <w:rFonts w:ascii="Helvetica" w:hAnsi="Helvetica"/>
          <w:color w:val="000000"/>
          <w:sz w:val="24"/>
          <w:szCs w:val="24"/>
          <w:shd w:val="clear" w:color="auto" w:fill="FFFFFF"/>
        </w:rPr>
      </w:pPr>
    </w:p>
    <w:p w:rsidR="00542CC2" w:rsidRPr="0079631F" w:rsidRDefault="00542CC2" w:rsidP="0079631F">
      <w:pPr>
        <w:widowControl w:val="0"/>
        <w:spacing w:after="20"/>
        <w:ind w:left="56"/>
        <w:rPr>
          <w:rFonts w:ascii="Helvetica" w:hAnsi="Helvetica"/>
          <w:sz w:val="24"/>
          <w:szCs w:val="24"/>
        </w:rPr>
      </w:pPr>
      <w:r w:rsidRPr="0079631F">
        <w:rPr>
          <w:rFonts w:ascii="Helvetica" w:hAnsi="Helvetica"/>
          <w:b/>
          <w:bCs/>
          <w:sz w:val="24"/>
          <w:szCs w:val="24"/>
        </w:rPr>
        <w:t>Prohibits discrimination against persons with disabilities.</w:t>
      </w:r>
      <w:r w:rsidRPr="0079631F">
        <w:rPr>
          <w:rFonts w:ascii="Helvetica" w:hAnsi="Helvetica"/>
          <w:sz w:val="24"/>
          <w:szCs w:val="24"/>
        </w:rPr>
        <w:t> It is unlawful for a housing provider to refuse to rent or sell to a person simply because of a disability. A housing provider may not impose different application or qualification criteria, rental fees or sales prices, and rental or sales terms or conditions than those required of or provided to persons who are not disabled.</w:t>
      </w:r>
    </w:p>
    <w:p w:rsidR="00542CC2" w:rsidRPr="0079631F" w:rsidRDefault="00542CC2" w:rsidP="0079631F">
      <w:pPr>
        <w:widowControl w:val="0"/>
        <w:spacing w:after="20"/>
        <w:rPr>
          <w:rFonts w:ascii="Helvetica" w:hAnsi="Helvetica"/>
          <w:sz w:val="24"/>
          <w:szCs w:val="24"/>
        </w:rPr>
      </w:pPr>
      <w:r w:rsidRPr="0079631F">
        <w:rPr>
          <w:rFonts w:ascii="Helvetica" w:hAnsi="Helvetica"/>
          <w:sz w:val="24"/>
          <w:szCs w:val="24"/>
        </w:rPr>
        <w:t> </w:t>
      </w:r>
    </w:p>
    <w:p w:rsidR="00542CC2" w:rsidRPr="0079631F" w:rsidRDefault="00542CC2" w:rsidP="0079631F">
      <w:pPr>
        <w:widowControl w:val="0"/>
        <w:spacing w:after="20"/>
        <w:ind w:left="56"/>
        <w:rPr>
          <w:rFonts w:ascii="Helvetica" w:hAnsi="Helvetica"/>
          <w:sz w:val="24"/>
          <w:szCs w:val="24"/>
        </w:rPr>
      </w:pPr>
      <w:r w:rsidRPr="0079631F">
        <w:rPr>
          <w:rFonts w:ascii="Helvetica" w:hAnsi="Helvetica"/>
          <w:b/>
          <w:bCs/>
          <w:sz w:val="24"/>
          <w:szCs w:val="24"/>
        </w:rPr>
        <w:t>Requires housing providers to make reasonable accommodations for persons with disabilities.</w:t>
      </w:r>
      <w:r w:rsidRPr="0079631F">
        <w:rPr>
          <w:rFonts w:ascii="Helvetica" w:hAnsi="Helvetica"/>
          <w:sz w:val="24"/>
          <w:szCs w:val="24"/>
        </w:rPr>
        <w:t> A reasonable accommodation is a change in rules, policies, practices, or services so that a person with a disability will have an equal opportunity to use and enjoy a dwelling unit or common space. Reasonable accommodations may be necessary at all stages of the housing process, including application, tenancy, or to prevent eviction.</w:t>
      </w:r>
    </w:p>
    <w:p w:rsidR="00542CC2" w:rsidRPr="0079631F" w:rsidRDefault="00542CC2" w:rsidP="0079631F">
      <w:pPr>
        <w:widowControl w:val="0"/>
        <w:spacing w:after="20"/>
        <w:rPr>
          <w:rFonts w:ascii="Helvetica" w:hAnsi="Helvetica"/>
          <w:sz w:val="24"/>
          <w:szCs w:val="24"/>
        </w:rPr>
      </w:pPr>
      <w:r w:rsidRPr="0079631F">
        <w:rPr>
          <w:rFonts w:ascii="Helvetica" w:hAnsi="Helvetica"/>
          <w:sz w:val="24"/>
          <w:szCs w:val="24"/>
        </w:rPr>
        <w:t> </w:t>
      </w:r>
    </w:p>
    <w:p w:rsidR="00542CC2" w:rsidRPr="0079631F" w:rsidRDefault="00542CC2" w:rsidP="0079631F">
      <w:pPr>
        <w:widowControl w:val="0"/>
        <w:spacing w:after="20"/>
        <w:ind w:left="56"/>
        <w:rPr>
          <w:rFonts w:ascii="Helvetica" w:hAnsi="Helvetica"/>
          <w:sz w:val="24"/>
          <w:szCs w:val="24"/>
        </w:rPr>
      </w:pPr>
      <w:r w:rsidRPr="0079631F">
        <w:rPr>
          <w:rFonts w:ascii="Helvetica" w:hAnsi="Helvetica"/>
          <w:b/>
          <w:bCs/>
          <w:sz w:val="24"/>
          <w:szCs w:val="24"/>
        </w:rPr>
        <w:t>Requires housing providers to allow persons with disabilities to make reasonable modifications</w:t>
      </w:r>
      <w:r w:rsidRPr="0079631F">
        <w:rPr>
          <w:rFonts w:ascii="Helvetica" w:hAnsi="Helvetica"/>
          <w:sz w:val="24"/>
          <w:szCs w:val="24"/>
        </w:rPr>
        <w:t>. A reasonable modification is a structural modification that is made to allow persons with disabilities the full enjoyment of the housing and related facilities.</w:t>
      </w:r>
    </w:p>
    <w:p w:rsidR="00542CC2" w:rsidRPr="0079631F" w:rsidRDefault="00542CC2" w:rsidP="0079631F">
      <w:pPr>
        <w:widowControl w:val="0"/>
        <w:spacing w:after="20"/>
        <w:rPr>
          <w:rFonts w:ascii="Helvetica" w:hAnsi="Helvetica"/>
          <w:sz w:val="24"/>
          <w:szCs w:val="24"/>
        </w:rPr>
      </w:pPr>
      <w:r w:rsidRPr="0079631F">
        <w:rPr>
          <w:rFonts w:ascii="Helvetica" w:hAnsi="Helvetica"/>
          <w:sz w:val="24"/>
          <w:szCs w:val="24"/>
        </w:rPr>
        <w:t> </w:t>
      </w:r>
    </w:p>
    <w:p w:rsidR="00542CC2" w:rsidRPr="0079631F" w:rsidRDefault="00542CC2" w:rsidP="0079631F">
      <w:pPr>
        <w:shd w:val="clear" w:color="auto" w:fill="FFFFFF"/>
        <w:spacing w:after="20" w:line="240" w:lineRule="auto"/>
        <w:ind w:left="56"/>
        <w:rPr>
          <w:rFonts w:ascii="Helvetica" w:eastAsia="Times New Roman" w:hAnsi="Helvetica" w:cs="Times New Roman"/>
          <w:color w:val="000000"/>
          <w:sz w:val="24"/>
          <w:szCs w:val="24"/>
        </w:rPr>
      </w:pPr>
      <w:r w:rsidRPr="0079631F">
        <w:rPr>
          <w:rFonts w:ascii="Helvetica" w:hAnsi="Helvetica"/>
          <w:b/>
          <w:bCs/>
          <w:sz w:val="24"/>
          <w:szCs w:val="24"/>
        </w:rPr>
        <w:t>Requires that new covered multifamily housing be designed and constructed to be accessible.</w:t>
      </w:r>
      <w:r w:rsidRPr="0079631F">
        <w:rPr>
          <w:rFonts w:ascii="Helvetica" w:hAnsi="Helvetica"/>
          <w:sz w:val="24"/>
          <w:szCs w:val="24"/>
        </w:rPr>
        <w:t> </w:t>
      </w:r>
      <w:r w:rsidRPr="0079631F">
        <w:rPr>
          <w:rFonts w:ascii="Helvetica" w:eastAsia="Times New Roman" w:hAnsi="Helvetica" w:cs="Times New Roman"/>
          <w:color w:val="000000"/>
          <w:sz w:val="24"/>
          <w:szCs w:val="24"/>
          <w:shd w:val="clear" w:color="auto" w:fill="FFFFFF"/>
        </w:rPr>
        <w:t>In covered multifamily housing consisting of 4 or more units with an elevator built for first occupancy after March 13, 1991, all units must comply with the following seven design and construction requirements of the Fair Housing Act:</w:t>
      </w:r>
    </w:p>
    <w:p w:rsidR="00E41B5D" w:rsidRPr="0079631F" w:rsidRDefault="00E41B5D" w:rsidP="0079631F">
      <w:pPr>
        <w:pStyle w:val="ListParagraph"/>
        <w:shd w:val="clear" w:color="auto" w:fill="FFFFFF"/>
        <w:spacing w:after="60" w:line="240" w:lineRule="auto"/>
        <w:ind w:left="2160"/>
        <w:rPr>
          <w:rFonts w:ascii="Helvetica" w:eastAsia="Times New Roman" w:hAnsi="Helvetica" w:cs="Times New Roman"/>
          <w:color w:val="000000"/>
          <w:sz w:val="24"/>
          <w:szCs w:val="24"/>
        </w:rPr>
      </w:pPr>
    </w:p>
    <w:p w:rsidR="00E41B5D" w:rsidRPr="0079631F" w:rsidRDefault="00E41B5D" w:rsidP="0079631F">
      <w:pPr>
        <w:pStyle w:val="ListParagraph"/>
        <w:numPr>
          <w:ilvl w:val="0"/>
          <w:numId w:val="3"/>
        </w:numPr>
        <w:shd w:val="clear" w:color="auto" w:fill="FFFFFF"/>
        <w:spacing w:after="60" w:line="240" w:lineRule="auto"/>
        <w:rPr>
          <w:rFonts w:ascii="Helvetica" w:eastAsia="Times New Roman" w:hAnsi="Helvetica" w:cs="Times New Roman"/>
          <w:color w:val="000000"/>
          <w:sz w:val="24"/>
          <w:szCs w:val="24"/>
        </w:rPr>
        <w:sectPr w:rsidR="00E41B5D" w:rsidRPr="0079631F" w:rsidSect="00E41B5D">
          <w:type w:val="continuous"/>
          <w:pgSz w:w="12240" w:h="15840"/>
          <w:pgMar w:top="720" w:right="720" w:bottom="720" w:left="720" w:header="720" w:footer="720" w:gutter="0"/>
          <w:cols w:space="720"/>
          <w:docGrid w:linePitch="360"/>
        </w:sectPr>
      </w:pPr>
    </w:p>
    <w:p w:rsidR="00542CC2" w:rsidRPr="00D61F8B" w:rsidRDefault="00E41B5D" w:rsidP="0079631F">
      <w:pPr>
        <w:pStyle w:val="ListParagraph"/>
        <w:numPr>
          <w:ilvl w:val="0"/>
          <w:numId w:val="3"/>
        </w:numPr>
        <w:shd w:val="clear" w:color="auto" w:fill="FFFFFF"/>
        <w:spacing w:after="60" w:line="240" w:lineRule="auto"/>
        <w:rPr>
          <w:rFonts w:ascii="Helvetica" w:eastAsia="Times New Roman" w:hAnsi="Helvetica" w:cs="Times New Roman"/>
          <w:color w:val="000000"/>
        </w:rPr>
      </w:pPr>
      <w:r w:rsidRPr="00D61F8B">
        <w:rPr>
          <w:rFonts w:ascii="Helvetica" w:eastAsia="Times New Roman" w:hAnsi="Helvetica" w:cs="Times New Roman"/>
          <w:color w:val="000000"/>
        </w:rPr>
        <w:t>A</w:t>
      </w:r>
      <w:r w:rsidR="00542CC2" w:rsidRPr="00D61F8B">
        <w:rPr>
          <w:rFonts w:ascii="Helvetica" w:eastAsia="Times New Roman" w:hAnsi="Helvetica" w:cs="Times New Roman"/>
          <w:color w:val="000000"/>
        </w:rPr>
        <w:t>ccessible Entrance on an Accessible Route</w:t>
      </w:r>
    </w:p>
    <w:p w:rsidR="00542CC2" w:rsidRPr="00D61F8B" w:rsidRDefault="00542CC2" w:rsidP="0079631F">
      <w:pPr>
        <w:pStyle w:val="ListParagraph"/>
        <w:numPr>
          <w:ilvl w:val="0"/>
          <w:numId w:val="3"/>
        </w:numPr>
        <w:shd w:val="clear" w:color="auto" w:fill="FFFFFF"/>
        <w:spacing w:after="60" w:line="240" w:lineRule="auto"/>
        <w:rPr>
          <w:rFonts w:ascii="Helvetica" w:eastAsia="Times New Roman" w:hAnsi="Helvetica" w:cs="Times New Roman"/>
          <w:color w:val="000000"/>
        </w:rPr>
      </w:pPr>
      <w:r w:rsidRPr="00D61F8B">
        <w:rPr>
          <w:rFonts w:ascii="Helvetica" w:eastAsia="Times New Roman" w:hAnsi="Helvetica" w:cs="Times New Roman"/>
          <w:color w:val="000000"/>
        </w:rPr>
        <w:t>Accessible Public and Common-Use Areas</w:t>
      </w:r>
    </w:p>
    <w:p w:rsidR="00542CC2" w:rsidRPr="00D61F8B" w:rsidRDefault="00542CC2" w:rsidP="0079631F">
      <w:pPr>
        <w:pStyle w:val="ListParagraph"/>
        <w:numPr>
          <w:ilvl w:val="0"/>
          <w:numId w:val="3"/>
        </w:numPr>
        <w:shd w:val="clear" w:color="auto" w:fill="FFFFFF"/>
        <w:spacing w:after="60" w:line="240" w:lineRule="auto"/>
        <w:rPr>
          <w:rFonts w:ascii="Helvetica" w:eastAsia="Times New Roman" w:hAnsi="Helvetica" w:cs="Times New Roman"/>
          <w:color w:val="000000"/>
        </w:rPr>
      </w:pPr>
      <w:r w:rsidRPr="00D61F8B">
        <w:rPr>
          <w:rFonts w:ascii="Helvetica" w:eastAsia="Times New Roman" w:hAnsi="Helvetica" w:cs="Times New Roman"/>
          <w:color w:val="000000"/>
        </w:rPr>
        <w:t>Usable Doors</w:t>
      </w:r>
    </w:p>
    <w:p w:rsidR="00542CC2" w:rsidRPr="00D61F8B" w:rsidRDefault="0069236E" w:rsidP="0079631F">
      <w:pPr>
        <w:pStyle w:val="ListParagraph"/>
        <w:numPr>
          <w:ilvl w:val="0"/>
          <w:numId w:val="3"/>
        </w:numPr>
        <w:shd w:val="clear" w:color="auto" w:fill="FFFFFF"/>
        <w:spacing w:after="60" w:line="240" w:lineRule="auto"/>
        <w:rPr>
          <w:rFonts w:ascii="Helvetica" w:eastAsia="Times New Roman" w:hAnsi="Helvetica" w:cs="Times New Roman"/>
          <w:color w:val="000000"/>
        </w:rPr>
      </w:pPr>
      <w:r w:rsidRPr="00D61F8B">
        <w:rPr>
          <w:rFonts w:ascii="Helvetica" w:eastAsia="Times New Roman" w:hAnsi="Helvetica" w:cs="Times New Roman"/>
          <w:color w:val="000000"/>
        </w:rPr>
        <w:t>Accessible Route into and t</w:t>
      </w:r>
      <w:r w:rsidR="00542CC2" w:rsidRPr="00D61F8B">
        <w:rPr>
          <w:rFonts w:ascii="Helvetica" w:eastAsia="Times New Roman" w:hAnsi="Helvetica" w:cs="Times New Roman"/>
          <w:color w:val="000000"/>
        </w:rPr>
        <w:t>hrough the Dwelling Unit</w:t>
      </w:r>
    </w:p>
    <w:p w:rsidR="00542CC2" w:rsidRPr="00D61F8B" w:rsidRDefault="00542CC2" w:rsidP="0079631F">
      <w:pPr>
        <w:pStyle w:val="ListParagraph"/>
        <w:numPr>
          <w:ilvl w:val="0"/>
          <w:numId w:val="3"/>
        </w:numPr>
        <w:shd w:val="clear" w:color="auto" w:fill="FFFFFF"/>
        <w:spacing w:after="60" w:line="240" w:lineRule="auto"/>
        <w:ind w:left="792"/>
        <w:rPr>
          <w:rFonts w:ascii="Helvetica" w:eastAsia="Times New Roman" w:hAnsi="Helvetica" w:cs="Times New Roman"/>
          <w:color w:val="000000"/>
        </w:rPr>
      </w:pPr>
      <w:r w:rsidRPr="00D61F8B">
        <w:rPr>
          <w:rFonts w:ascii="Helvetica" w:eastAsia="Times New Roman" w:hAnsi="Helvetica" w:cs="Times New Roman"/>
          <w:color w:val="000000"/>
        </w:rPr>
        <w:t>Accessible Light Switches, Electrical Outlets, Thermostats, and Environmental Controls</w:t>
      </w:r>
    </w:p>
    <w:p w:rsidR="00542CC2" w:rsidRPr="00D61F8B" w:rsidRDefault="00542CC2" w:rsidP="0079631F">
      <w:pPr>
        <w:pStyle w:val="ListParagraph"/>
        <w:numPr>
          <w:ilvl w:val="0"/>
          <w:numId w:val="3"/>
        </w:numPr>
        <w:shd w:val="clear" w:color="auto" w:fill="FFFFFF"/>
        <w:spacing w:after="60" w:line="240" w:lineRule="auto"/>
        <w:ind w:left="792"/>
        <w:rPr>
          <w:rFonts w:ascii="Helvetica" w:eastAsia="Times New Roman" w:hAnsi="Helvetica" w:cs="Times New Roman"/>
          <w:color w:val="000000"/>
        </w:rPr>
      </w:pPr>
      <w:r w:rsidRPr="00D61F8B">
        <w:rPr>
          <w:rFonts w:ascii="Helvetica" w:eastAsia="Times New Roman" w:hAnsi="Helvetica" w:cs="Times New Roman"/>
          <w:color w:val="000000"/>
        </w:rPr>
        <w:t>Reinforced Walls in Bathrooms</w:t>
      </w:r>
    </w:p>
    <w:p w:rsidR="00542CC2" w:rsidRPr="00D61F8B" w:rsidRDefault="00542CC2" w:rsidP="0079631F">
      <w:pPr>
        <w:pStyle w:val="ListParagraph"/>
        <w:numPr>
          <w:ilvl w:val="0"/>
          <w:numId w:val="3"/>
        </w:numPr>
        <w:shd w:val="clear" w:color="auto" w:fill="FFFFFF"/>
        <w:spacing w:after="60" w:line="240" w:lineRule="auto"/>
        <w:ind w:left="792"/>
        <w:rPr>
          <w:rFonts w:ascii="Helvetica" w:eastAsia="Times New Roman" w:hAnsi="Helvetica" w:cs="Times New Roman"/>
          <w:color w:val="000000"/>
        </w:rPr>
      </w:pPr>
      <w:r w:rsidRPr="00D61F8B">
        <w:rPr>
          <w:rFonts w:ascii="Helvetica" w:eastAsia="Times New Roman" w:hAnsi="Helvetica" w:cs="Times New Roman"/>
          <w:color w:val="000000"/>
        </w:rPr>
        <w:t>Usable Kitchens and Bathrooms</w:t>
      </w:r>
    </w:p>
    <w:p w:rsidR="00542CC2" w:rsidRPr="0079631F" w:rsidRDefault="00542CC2" w:rsidP="00542CC2">
      <w:pPr>
        <w:widowControl w:val="0"/>
        <w:spacing w:after="0"/>
        <w:rPr>
          <w:rFonts w:ascii="Helvetica" w:hAnsi="Helvetica"/>
          <w:sz w:val="24"/>
          <w:szCs w:val="24"/>
        </w:rPr>
        <w:sectPr w:rsidR="00542CC2" w:rsidRPr="0079631F" w:rsidSect="00E41B5D">
          <w:type w:val="continuous"/>
          <w:pgSz w:w="12240" w:h="15840"/>
          <w:pgMar w:top="720" w:right="720" w:bottom="720" w:left="720" w:header="720" w:footer="720" w:gutter="0"/>
          <w:cols w:num="2" w:space="720"/>
          <w:docGrid w:linePitch="360"/>
        </w:sectPr>
      </w:pPr>
    </w:p>
    <w:p w:rsidR="00542CC2" w:rsidRPr="0079631F" w:rsidRDefault="00542CC2" w:rsidP="00542CC2">
      <w:pPr>
        <w:widowControl w:val="0"/>
        <w:spacing w:after="0"/>
        <w:rPr>
          <w:rFonts w:ascii="Constantia" w:hAnsi="Constantia"/>
          <w:sz w:val="24"/>
          <w:szCs w:val="24"/>
        </w:rPr>
      </w:pPr>
    </w:p>
    <w:p w:rsidR="00542CC2" w:rsidRPr="0079631F" w:rsidRDefault="00542CC2" w:rsidP="00542CC2">
      <w:pPr>
        <w:widowControl w:val="0"/>
        <w:rPr>
          <w:rFonts w:ascii="Constantia" w:hAnsi="Constantia"/>
          <w:sz w:val="24"/>
          <w:szCs w:val="24"/>
        </w:rPr>
      </w:pPr>
      <w:r w:rsidRPr="0079631F">
        <w:rPr>
          <w:rFonts w:ascii="Constantia" w:hAnsi="Constantia"/>
          <w:sz w:val="24"/>
          <w:szCs w:val="24"/>
        </w:rPr>
        <w:t> </w:t>
      </w:r>
    </w:p>
    <w:p w:rsidR="00542CC2" w:rsidRDefault="00542CC2" w:rsidP="00542CC2"/>
    <w:sectPr w:rsidR="00542CC2" w:rsidSect="00542CC2">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506EE"/>
    <w:multiLevelType w:val="multilevel"/>
    <w:tmpl w:val="0256EA48"/>
    <w:lvl w:ilvl="0">
      <w:start w:val="1"/>
      <w:numFmt w:val="bullet"/>
      <w:lvlText w:val=""/>
      <w:lvlJc w:val="left"/>
      <w:pPr>
        <w:tabs>
          <w:tab w:val="num" w:pos="1136"/>
        </w:tabs>
        <w:ind w:left="1136" w:hanging="360"/>
      </w:pPr>
      <w:rPr>
        <w:rFonts w:ascii="Symbol" w:hAnsi="Symbol" w:hint="default"/>
        <w:sz w:val="20"/>
      </w:rPr>
    </w:lvl>
    <w:lvl w:ilvl="1" w:tentative="1">
      <w:start w:val="1"/>
      <w:numFmt w:val="bullet"/>
      <w:lvlText w:val="o"/>
      <w:lvlJc w:val="left"/>
      <w:pPr>
        <w:tabs>
          <w:tab w:val="num" w:pos="1856"/>
        </w:tabs>
        <w:ind w:left="1856" w:hanging="360"/>
      </w:pPr>
      <w:rPr>
        <w:rFonts w:ascii="Courier New" w:hAnsi="Courier New" w:hint="default"/>
        <w:sz w:val="20"/>
      </w:rPr>
    </w:lvl>
    <w:lvl w:ilvl="2" w:tentative="1">
      <w:start w:val="1"/>
      <w:numFmt w:val="bullet"/>
      <w:lvlText w:val=""/>
      <w:lvlJc w:val="left"/>
      <w:pPr>
        <w:tabs>
          <w:tab w:val="num" w:pos="2576"/>
        </w:tabs>
        <w:ind w:left="2576" w:hanging="360"/>
      </w:pPr>
      <w:rPr>
        <w:rFonts w:ascii="Wingdings" w:hAnsi="Wingdings" w:hint="default"/>
        <w:sz w:val="20"/>
      </w:rPr>
    </w:lvl>
    <w:lvl w:ilvl="3" w:tentative="1">
      <w:start w:val="1"/>
      <w:numFmt w:val="bullet"/>
      <w:lvlText w:val=""/>
      <w:lvlJc w:val="left"/>
      <w:pPr>
        <w:tabs>
          <w:tab w:val="num" w:pos="3296"/>
        </w:tabs>
        <w:ind w:left="3296" w:hanging="360"/>
      </w:pPr>
      <w:rPr>
        <w:rFonts w:ascii="Wingdings" w:hAnsi="Wingdings" w:hint="default"/>
        <w:sz w:val="20"/>
      </w:rPr>
    </w:lvl>
    <w:lvl w:ilvl="4" w:tentative="1">
      <w:start w:val="1"/>
      <w:numFmt w:val="bullet"/>
      <w:lvlText w:val=""/>
      <w:lvlJc w:val="left"/>
      <w:pPr>
        <w:tabs>
          <w:tab w:val="num" w:pos="4016"/>
        </w:tabs>
        <w:ind w:left="4016" w:hanging="360"/>
      </w:pPr>
      <w:rPr>
        <w:rFonts w:ascii="Wingdings" w:hAnsi="Wingdings" w:hint="default"/>
        <w:sz w:val="20"/>
      </w:rPr>
    </w:lvl>
    <w:lvl w:ilvl="5" w:tentative="1">
      <w:start w:val="1"/>
      <w:numFmt w:val="bullet"/>
      <w:lvlText w:val=""/>
      <w:lvlJc w:val="left"/>
      <w:pPr>
        <w:tabs>
          <w:tab w:val="num" w:pos="4736"/>
        </w:tabs>
        <w:ind w:left="4736" w:hanging="360"/>
      </w:pPr>
      <w:rPr>
        <w:rFonts w:ascii="Wingdings" w:hAnsi="Wingdings" w:hint="default"/>
        <w:sz w:val="20"/>
      </w:rPr>
    </w:lvl>
    <w:lvl w:ilvl="6" w:tentative="1">
      <w:start w:val="1"/>
      <w:numFmt w:val="bullet"/>
      <w:lvlText w:val=""/>
      <w:lvlJc w:val="left"/>
      <w:pPr>
        <w:tabs>
          <w:tab w:val="num" w:pos="5456"/>
        </w:tabs>
        <w:ind w:left="5456" w:hanging="360"/>
      </w:pPr>
      <w:rPr>
        <w:rFonts w:ascii="Wingdings" w:hAnsi="Wingdings" w:hint="default"/>
        <w:sz w:val="20"/>
      </w:rPr>
    </w:lvl>
    <w:lvl w:ilvl="7" w:tentative="1">
      <w:start w:val="1"/>
      <w:numFmt w:val="bullet"/>
      <w:lvlText w:val=""/>
      <w:lvlJc w:val="left"/>
      <w:pPr>
        <w:tabs>
          <w:tab w:val="num" w:pos="6176"/>
        </w:tabs>
        <w:ind w:left="6176" w:hanging="360"/>
      </w:pPr>
      <w:rPr>
        <w:rFonts w:ascii="Wingdings" w:hAnsi="Wingdings" w:hint="default"/>
        <w:sz w:val="20"/>
      </w:rPr>
    </w:lvl>
    <w:lvl w:ilvl="8" w:tentative="1">
      <w:start w:val="1"/>
      <w:numFmt w:val="bullet"/>
      <w:lvlText w:val=""/>
      <w:lvlJc w:val="left"/>
      <w:pPr>
        <w:tabs>
          <w:tab w:val="num" w:pos="6896"/>
        </w:tabs>
        <w:ind w:left="6896" w:hanging="360"/>
      </w:pPr>
      <w:rPr>
        <w:rFonts w:ascii="Wingdings" w:hAnsi="Wingdings" w:hint="default"/>
        <w:sz w:val="20"/>
      </w:rPr>
    </w:lvl>
  </w:abstractNum>
  <w:abstractNum w:abstractNumId="1" w15:restartNumberingAfterBreak="0">
    <w:nsid w:val="62092F01"/>
    <w:multiLevelType w:val="hybridMultilevel"/>
    <w:tmpl w:val="0568B0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1174EA"/>
    <w:multiLevelType w:val="hybridMultilevel"/>
    <w:tmpl w:val="314C97A8"/>
    <w:lvl w:ilvl="0" w:tplc="0409000B">
      <w:start w:val="1"/>
      <w:numFmt w:val="bullet"/>
      <w:lvlText w:val=""/>
      <w:lvlJc w:val="left"/>
      <w:pPr>
        <w:ind w:left="776" w:hanging="360"/>
      </w:pPr>
      <w:rPr>
        <w:rFonts w:ascii="Wingdings" w:hAnsi="Wingdings"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CC2"/>
    <w:rsid w:val="00536CF7"/>
    <w:rsid w:val="00542CC2"/>
    <w:rsid w:val="00657001"/>
    <w:rsid w:val="0069236E"/>
    <w:rsid w:val="0079631F"/>
    <w:rsid w:val="00CD6B14"/>
    <w:rsid w:val="00D61F8B"/>
    <w:rsid w:val="00D65E83"/>
    <w:rsid w:val="00E41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CC203C-1F62-43F8-A33C-8A06A7A8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B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0939">
      <w:bodyDiv w:val="1"/>
      <w:marLeft w:val="0"/>
      <w:marRight w:val="0"/>
      <w:marTop w:val="0"/>
      <w:marBottom w:val="0"/>
      <w:divBdr>
        <w:top w:val="none" w:sz="0" w:space="0" w:color="auto"/>
        <w:left w:val="none" w:sz="0" w:space="0" w:color="auto"/>
        <w:bottom w:val="none" w:sz="0" w:space="0" w:color="auto"/>
        <w:right w:val="none" w:sz="0" w:space="0" w:color="auto"/>
      </w:divBdr>
    </w:div>
    <w:div w:id="387075339">
      <w:bodyDiv w:val="1"/>
      <w:marLeft w:val="0"/>
      <w:marRight w:val="0"/>
      <w:marTop w:val="0"/>
      <w:marBottom w:val="0"/>
      <w:divBdr>
        <w:top w:val="none" w:sz="0" w:space="0" w:color="auto"/>
        <w:left w:val="none" w:sz="0" w:space="0" w:color="auto"/>
        <w:bottom w:val="none" w:sz="0" w:space="0" w:color="auto"/>
        <w:right w:val="none" w:sz="0" w:space="0" w:color="auto"/>
      </w:divBdr>
    </w:div>
    <w:div w:id="597833735">
      <w:bodyDiv w:val="1"/>
      <w:marLeft w:val="0"/>
      <w:marRight w:val="0"/>
      <w:marTop w:val="0"/>
      <w:marBottom w:val="0"/>
      <w:divBdr>
        <w:top w:val="none" w:sz="0" w:space="0" w:color="auto"/>
        <w:left w:val="none" w:sz="0" w:space="0" w:color="auto"/>
        <w:bottom w:val="none" w:sz="0" w:space="0" w:color="auto"/>
        <w:right w:val="none" w:sz="0" w:space="0" w:color="auto"/>
      </w:divBdr>
    </w:div>
    <w:div w:id="834417209">
      <w:bodyDiv w:val="1"/>
      <w:marLeft w:val="0"/>
      <w:marRight w:val="0"/>
      <w:marTop w:val="0"/>
      <w:marBottom w:val="0"/>
      <w:divBdr>
        <w:top w:val="none" w:sz="0" w:space="0" w:color="auto"/>
        <w:left w:val="none" w:sz="0" w:space="0" w:color="auto"/>
        <w:bottom w:val="none" w:sz="0" w:space="0" w:color="auto"/>
        <w:right w:val="none" w:sz="0" w:space="0" w:color="auto"/>
      </w:divBdr>
    </w:div>
    <w:div w:id="852499463">
      <w:bodyDiv w:val="1"/>
      <w:marLeft w:val="0"/>
      <w:marRight w:val="0"/>
      <w:marTop w:val="0"/>
      <w:marBottom w:val="0"/>
      <w:divBdr>
        <w:top w:val="none" w:sz="0" w:space="0" w:color="auto"/>
        <w:left w:val="none" w:sz="0" w:space="0" w:color="auto"/>
        <w:bottom w:val="none" w:sz="0" w:space="0" w:color="auto"/>
        <w:right w:val="none" w:sz="0" w:space="0" w:color="auto"/>
      </w:divBdr>
    </w:div>
    <w:div w:id="960693480">
      <w:bodyDiv w:val="1"/>
      <w:marLeft w:val="0"/>
      <w:marRight w:val="0"/>
      <w:marTop w:val="0"/>
      <w:marBottom w:val="0"/>
      <w:divBdr>
        <w:top w:val="none" w:sz="0" w:space="0" w:color="auto"/>
        <w:left w:val="none" w:sz="0" w:space="0" w:color="auto"/>
        <w:bottom w:val="none" w:sz="0" w:space="0" w:color="auto"/>
        <w:right w:val="none" w:sz="0" w:space="0" w:color="auto"/>
      </w:divBdr>
    </w:div>
    <w:div w:id="1534230336">
      <w:bodyDiv w:val="1"/>
      <w:marLeft w:val="0"/>
      <w:marRight w:val="0"/>
      <w:marTop w:val="0"/>
      <w:marBottom w:val="0"/>
      <w:divBdr>
        <w:top w:val="none" w:sz="0" w:space="0" w:color="auto"/>
        <w:left w:val="none" w:sz="0" w:space="0" w:color="auto"/>
        <w:bottom w:val="none" w:sz="0" w:space="0" w:color="auto"/>
        <w:right w:val="none" w:sz="0" w:space="0" w:color="auto"/>
      </w:divBdr>
    </w:div>
    <w:div w:id="187492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286</Words>
  <Characters>1636</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Kolppa</dc:creator>
  <cp:keywords/>
  <dc:description/>
  <cp:lastModifiedBy>Sharon Paskewitz</cp:lastModifiedBy>
  <cp:revision>2</cp:revision>
  <cp:lastPrinted>2017-12-06T17:07:00Z</cp:lastPrinted>
  <dcterms:created xsi:type="dcterms:W3CDTF">2017-12-06T17:08:00Z</dcterms:created>
  <dcterms:modified xsi:type="dcterms:W3CDTF">2017-12-06T17:08:00Z</dcterms:modified>
</cp:coreProperties>
</file>